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B500" w14:textId="77777777" w:rsidR="002266FA" w:rsidRPr="003A5162" w:rsidRDefault="002266FA" w:rsidP="00F42832">
      <w:pPr>
        <w:pStyle w:val="Heading1"/>
        <w:jc w:val="center"/>
        <w:rPr>
          <w:szCs w:val="24"/>
        </w:rPr>
      </w:pPr>
      <w:bookmarkStart w:id="0" w:name="_Toc211441772"/>
      <w:r w:rsidRPr="003A5162">
        <w:rPr>
          <w:szCs w:val="24"/>
        </w:rPr>
        <w:t>NOTICE TO BIDDERS</w:t>
      </w:r>
      <w:bookmarkEnd w:id="0"/>
    </w:p>
    <w:p w14:paraId="7348997D" w14:textId="77777777" w:rsidR="002266FA" w:rsidRPr="003A5162" w:rsidRDefault="002266FA" w:rsidP="002266FA">
      <w:pPr>
        <w:spacing w:line="240" w:lineRule="exact"/>
        <w:jc w:val="center"/>
        <w:rPr>
          <w:b/>
          <w:snapToGrid w:val="0"/>
          <w:szCs w:val="24"/>
        </w:rPr>
      </w:pPr>
      <w:r w:rsidRPr="00141029">
        <w:rPr>
          <w:b/>
          <w:noProof/>
          <w:snapToGrid w:val="0"/>
          <w:szCs w:val="24"/>
        </w:rPr>
        <w:t>BOROUGH OF MENDHAM</w:t>
      </w:r>
    </w:p>
    <w:p w14:paraId="43353E1B" w14:textId="77777777" w:rsidR="002266FA" w:rsidRPr="003A5162" w:rsidRDefault="002266FA" w:rsidP="002266FA">
      <w:pPr>
        <w:spacing w:line="240" w:lineRule="exact"/>
        <w:jc w:val="center"/>
        <w:rPr>
          <w:b/>
          <w:snapToGrid w:val="0"/>
          <w:szCs w:val="24"/>
        </w:rPr>
      </w:pPr>
      <w:r w:rsidRPr="00141029">
        <w:rPr>
          <w:b/>
          <w:noProof/>
          <w:snapToGrid w:val="0"/>
          <w:szCs w:val="24"/>
        </w:rPr>
        <w:t>MORRIS</w:t>
      </w:r>
      <w:r w:rsidRPr="003A5162">
        <w:rPr>
          <w:b/>
          <w:snapToGrid w:val="0"/>
          <w:szCs w:val="24"/>
        </w:rPr>
        <w:t xml:space="preserve"> COUNTY, NEW JERSEY</w:t>
      </w:r>
    </w:p>
    <w:p w14:paraId="6C9C68A6" w14:textId="77777777" w:rsidR="002266FA" w:rsidRPr="003A5162" w:rsidRDefault="002266FA" w:rsidP="002266FA">
      <w:pPr>
        <w:spacing w:line="240" w:lineRule="exact"/>
        <w:rPr>
          <w:snapToGrid w:val="0"/>
          <w:szCs w:val="24"/>
        </w:rPr>
      </w:pPr>
    </w:p>
    <w:p w14:paraId="47679626" w14:textId="77777777" w:rsidR="002266FA" w:rsidRPr="003A5162" w:rsidRDefault="002266FA" w:rsidP="002266FA">
      <w:pPr>
        <w:spacing w:line="240" w:lineRule="exact"/>
        <w:rPr>
          <w:snapToGrid w:val="0"/>
          <w:szCs w:val="24"/>
        </w:rPr>
      </w:pPr>
    </w:p>
    <w:p w14:paraId="6BF814BB" w14:textId="77777777" w:rsidR="002266FA" w:rsidRPr="003A5162" w:rsidRDefault="002266FA" w:rsidP="002266FA">
      <w:pPr>
        <w:spacing w:line="240" w:lineRule="exact"/>
        <w:jc w:val="both"/>
        <w:rPr>
          <w:snapToGrid w:val="0"/>
          <w:szCs w:val="24"/>
        </w:rPr>
      </w:pPr>
      <w:r w:rsidRPr="003A5162">
        <w:rPr>
          <w:snapToGrid w:val="0"/>
          <w:szCs w:val="24"/>
        </w:rPr>
        <w:t xml:space="preserve">Sealed bids will be received by the </w:t>
      </w:r>
      <w:r w:rsidRPr="00141029">
        <w:rPr>
          <w:noProof/>
          <w:snapToGrid w:val="0"/>
          <w:szCs w:val="24"/>
        </w:rPr>
        <w:t>Borough of Mendham</w:t>
      </w:r>
      <w:r w:rsidRPr="003A5162">
        <w:rPr>
          <w:snapToGrid w:val="0"/>
          <w:szCs w:val="24"/>
        </w:rPr>
        <w:t xml:space="preserve">, </w:t>
      </w:r>
      <w:r w:rsidRPr="00141029">
        <w:rPr>
          <w:noProof/>
          <w:snapToGrid w:val="0"/>
          <w:szCs w:val="24"/>
        </w:rPr>
        <w:t xml:space="preserve">at the </w:t>
      </w:r>
      <w:r>
        <w:rPr>
          <w:noProof/>
          <w:snapToGrid w:val="0"/>
          <w:szCs w:val="24"/>
        </w:rPr>
        <w:t>Phoenix House</w:t>
      </w:r>
      <w:r w:rsidRPr="00141029">
        <w:rPr>
          <w:noProof/>
          <w:snapToGrid w:val="0"/>
          <w:szCs w:val="24"/>
        </w:rPr>
        <w:t xml:space="preserve"> </w:t>
      </w:r>
      <w:r>
        <w:rPr>
          <w:noProof/>
          <w:snapToGrid w:val="0"/>
          <w:szCs w:val="24"/>
        </w:rPr>
        <w:t>located</w:t>
      </w:r>
      <w:r w:rsidRPr="00141029">
        <w:rPr>
          <w:noProof/>
          <w:snapToGrid w:val="0"/>
          <w:szCs w:val="24"/>
        </w:rPr>
        <w:t xml:space="preserve"> at </w:t>
      </w:r>
      <w:r>
        <w:rPr>
          <w:noProof/>
          <w:snapToGrid w:val="0"/>
          <w:szCs w:val="24"/>
        </w:rPr>
        <w:t>2</w:t>
      </w:r>
      <w:r w:rsidRPr="00141029">
        <w:rPr>
          <w:noProof/>
          <w:snapToGrid w:val="0"/>
          <w:szCs w:val="24"/>
        </w:rPr>
        <w:t xml:space="preserve"> West Main Street Road, Mendham, NJ 07945</w:t>
      </w:r>
      <w:r w:rsidRPr="003A5162">
        <w:rPr>
          <w:snapToGrid w:val="0"/>
          <w:szCs w:val="24"/>
        </w:rPr>
        <w:t xml:space="preserve"> in the County of </w:t>
      </w:r>
      <w:r w:rsidRPr="00B82523">
        <w:rPr>
          <w:noProof/>
          <w:snapToGrid w:val="0"/>
          <w:szCs w:val="24"/>
        </w:rPr>
        <w:t>Morris</w:t>
      </w:r>
      <w:r w:rsidRPr="003A5162">
        <w:rPr>
          <w:snapToGrid w:val="0"/>
          <w:szCs w:val="24"/>
        </w:rPr>
        <w:t xml:space="preserve"> and State of New Jersey on </w:t>
      </w:r>
      <w:r>
        <w:rPr>
          <w:snapToGrid w:val="0"/>
          <w:sz w:val="22"/>
          <w:szCs w:val="22"/>
        </w:rPr>
        <w:t>November 12</w:t>
      </w:r>
      <w:r w:rsidRPr="003A5162">
        <w:rPr>
          <w:snapToGrid w:val="0"/>
          <w:szCs w:val="24"/>
        </w:rPr>
        <w:t>, 202</w:t>
      </w:r>
      <w:r>
        <w:rPr>
          <w:snapToGrid w:val="0"/>
          <w:szCs w:val="24"/>
        </w:rPr>
        <w:t>5</w:t>
      </w:r>
      <w:r w:rsidRPr="003A5162">
        <w:rPr>
          <w:snapToGrid w:val="0"/>
          <w:szCs w:val="24"/>
        </w:rPr>
        <w:t xml:space="preserve"> at 11:00 a.m. prevailing time, and then publicly opened and read aloud for:</w:t>
      </w:r>
    </w:p>
    <w:p w14:paraId="27403D7A" w14:textId="77777777" w:rsidR="002266FA" w:rsidRPr="003A5162" w:rsidRDefault="002266FA" w:rsidP="002266FA">
      <w:pPr>
        <w:spacing w:line="240" w:lineRule="exact"/>
        <w:rPr>
          <w:snapToGrid w:val="0"/>
          <w:szCs w:val="24"/>
        </w:rPr>
      </w:pPr>
    </w:p>
    <w:p w14:paraId="66832864" w14:textId="77777777" w:rsidR="002266FA" w:rsidRPr="003A5162" w:rsidRDefault="002266FA" w:rsidP="002266FA">
      <w:pPr>
        <w:spacing w:line="240" w:lineRule="exact"/>
        <w:jc w:val="center"/>
        <w:rPr>
          <w:snapToGrid w:val="0"/>
          <w:szCs w:val="24"/>
        </w:rPr>
      </w:pPr>
      <w:bookmarkStart w:id="1" w:name="_Hlk210832390"/>
      <w:r>
        <w:rPr>
          <w:noProof/>
          <w:snapToGrid w:val="0"/>
          <w:szCs w:val="24"/>
        </w:rPr>
        <w:t>ACCESSIBILITY IMPROVEMENTS TO POLICE DEPARMTENT</w:t>
      </w:r>
    </w:p>
    <w:bookmarkEnd w:id="1"/>
    <w:p w14:paraId="50B17193" w14:textId="77777777" w:rsidR="002266FA" w:rsidRPr="003A5162" w:rsidRDefault="002266FA" w:rsidP="002266FA">
      <w:pPr>
        <w:spacing w:line="240" w:lineRule="exact"/>
        <w:jc w:val="center"/>
        <w:rPr>
          <w:snapToGrid w:val="0"/>
          <w:szCs w:val="24"/>
        </w:rPr>
      </w:pPr>
      <w:r w:rsidRPr="00141029">
        <w:rPr>
          <w:noProof/>
          <w:snapToGrid w:val="0"/>
          <w:szCs w:val="24"/>
        </w:rPr>
        <w:t>BOROUGH OF MENDHAM</w:t>
      </w:r>
    </w:p>
    <w:p w14:paraId="425EE7CC" w14:textId="77777777" w:rsidR="002266FA" w:rsidRPr="003A5162" w:rsidRDefault="002266FA" w:rsidP="002266FA">
      <w:pPr>
        <w:spacing w:line="240" w:lineRule="exact"/>
        <w:jc w:val="center"/>
        <w:rPr>
          <w:snapToGrid w:val="0"/>
          <w:szCs w:val="24"/>
        </w:rPr>
      </w:pPr>
      <w:r w:rsidRPr="00B82523">
        <w:rPr>
          <w:noProof/>
          <w:snapToGrid w:val="0"/>
          <w:szCs w:val="24"/>
        </w:rPr>
        <w:t>MORRIS</w:t>
      </w:r>
      <w:r w:rsidRPr="003A5162">
        <w:rPr>
          <w:snapToGrid w:val="0"/>
          <w:szCs w:val="24"/>
        </w:rPr>
        <w:t xml:space="preserve"> COUNTY, NEW JERSEY</w:t>
      </w:r>
    </w:p>
    <w:p w14:paraId="4DEF5D51" w14:textId="77777777" w:rsidR="002266FA" w:rsidRPr="003A5162" w:rsidRDefault="002266FA" w:rsidP="002266FA">
      <w:pPr>
        <w:spacing w:line="240" w:lineRule="exact"/>
        <w:rPr>
          <w:snapToGrid w:val="0"/>
          <w:szCs w:val="24"/>
        </w:rPr>
      </w:pPr>
    </w:p>
    <w:p w14:paraId="72DBCEF4" w14:textId="77777777" w:rsidR="002266FA" w:rsidRDefault="002266FA" w:rsidP="002266FA">
      <w:pPr>
        <w:spacing w:line="240" w:lineRule="exact"/>
        <w:jc w:val="both"/>
        <w:rPr>
          <w:snapToGrid w:val="0"/>
          <w:szCs w:val="24"/>
        </w:rPr>
      </w:pPr>
      <w:r w:rsidRPr="003A5162">
        <w:rPr>
          <w:snapToGrid w:val="0"/>
          <w:szCs w:val="24"/>
        </w:rPr>
        <w:t xml:space="preserve">The work to be performed under this contract includes the following:  </w:t>
      </w:r>
    </w:p>
    <w:p w14:paraId="759F615F" w14:textId="77777777" w:rsidR="002266FA" w:rsidRDefault="002266FA" w:rsidP="002266FA">
      <w:pPr>
        <w:spacing w:line="240" w:lineRule="exact"/>
        <w:jc w:val="both"/>
        <w:rPr>
          <w:snapToGrid w:val="0"/>
          <w:szCs w:val="24"/>
        </w:rPr>
      </w:pPr>
    </w:p>
    <w:p w14:paraId="7E6767BA" w14:textId="77777777" w:rsidR="002266FA" w:rsidRPr="003A5162" w:rsidRDefault="002266FA" w:rsidP="002266FA">
      <w:pPr>
        <w:spacing w:line="240" w:lineRule="exact"/>
        <w:jc w:val="both"/>
        <w:rPr>
          <w:snapToGrid w:val="0"/>
          <w:szCs w:val="24"/>
        </w:rPr>
      </w:pPr>
      <w:r w:rsidRPr="003A5162">
        <w:rPr>
          <w:snapToGrid w:val="0"/>
          <w:szCs w:val="24"/>
        </w:rPr>
        <w:t xml:space="preserve">Base Bid – </w:t>
      </w:r>
      <w:r>
        <w:rPr>
          <w:szCs w:val="24"/>
        </w:rPr>
        <w:t>Construction of ADA accessible route including curb and barrier free ramps and sidewalk and, installation of ADA door push buttons and actuators and other incidental work.</w:t>
      </w:r>
    </w:p>
    <w:p w14:paraId="60035244" w14:textId="77777777" w:rsidR="002266FA" w:rsidRPr="003A5162" w:rsidRDefault="002266FA" w:rsidP="002266FA">
      <w:pPr>
        <w:spacing w:line="240" w:lineRule="exact"/>
        <w:jc w:val="both"/>
        <w:rPr>
          <w:snapToGrid w:val="0"/>
          <w:szCs w:val="24"/>
        </w:rPr>
      </w:pPr>
    </w:p>
    <w:p w14:paraId="7A77D2BE" w14:textId="77777777" w:rsidR="002266FA" w:rsidRPr="003A5162" w:rsidRDefault="002266FA" w:rsidP="002266FA">
      <w:pPr>
        <w:spacing w:line="240" w:lineRule="exact"/>
        <w:jc w:val="both"/>
        <w:rPr>
          <w:snapToGrid w:val="0"/>
          <w:szCs w:val="24"/>
        </w:rPr>
      </w:pPr>
      <w:r w:rsidRPr="003A5162">
        <w:rPr>
          <w:snapToGrid w:val="0"/>
          <w:szCs w:val="24"/>
        </w:rPr>
        <w:t>Principal items of work in the project include:</w:t>
      </w:r>
    </w:p>
    <w:p w14:paraId="61DCAD45" w14:textId="77777777" w:rsidR="002266FA" w:rsidRPr="003A5162" w:rsidRDefault="002266FA" w:rsidP="002266FA">
      <w:pPr>
        <w:spacing w:line="240" w:lineRule="exact"/>
        <w:rPr>
          <w:snapToGrid w:val="0"/>
          <w:szCs w:val="24"/>
        </w:rPr>
      </w:pPr>
    </w:p>
    <w:p w14:paraId="69F01FC8" w14:textId="77777777" w:rsidR="002266FA" w:rsidRDefault="002266FA" w:rsidP="002266FA">
      <w:pPr>
        <w:pStyle w:val="ListParagraph"/>
        <w:numPr>
          <w:ilvl w:val="0"/>
          <w:numId w:val="1"/>
        </w:numPr>
        <w:spacing w:line="240" w:lineRule="exact"/>
        <w:ind w:right="43"/>
        <w:contextualSpacing/>
        <w:jc w:val="both"/>
      </w:pPr>
      <w:bookmarkStart w:id="2" w:name="_Hlk211442455"/>
      <w:r>
        <w:t xml:space="preserve">   1 L.S. Mobilization, Site Preparation and Cleanup</w:t>
      </w:r>
    </w:p>
    <w:p w14:paraId="3C003531" w14:textId="77777777" w:rsidR="002266FA" w:rsidRDefault="002266FA" w:rsidP="002266FA">
      <w:pPr>
        <w:pStyle w:val="ListParagraph"/>
        <w:numPr>
          <w:ilvl w:val="0"/>
          <w:numId w:val="1"/>
        </w:numPr>
        <w:spacing w:line="240" w:lineRule="exact"/>
        <w:ind w:right="43"/>
        <w:contextualSpacing/>
        <w:jc w:val="both"/>
      </w:pPr>
      <w:r>
        <w:t>35 S.Y. Concrete Sidewalk, 4” Thick</w:t>
      </w:r>
    </w:p>
    <w:p w14:paraId="6F05641A" w14:textId="77777777" w:rsidR="002266FA" w:rsidRDefault="002266FA" w:rsidP="002266FA">
      <w:pPr>
        <w:pStyle w:val="ListParagraph"/>
        <w:numPr>
          <w:ilvl w:val="0"/>
          <w:numId w:val="1"/>
        </w:numPr>
        <w:spacing w:line="240" w:lineRule="exact"/>
        <w:ind w:right="43"/>
        <w:contextualSpacing/>
        <w:jc w:val="both"/>
      </w:pPr>
      <w:r>
        <w:t xml:space="preserve">13 L.F. Curb </w:t>
      </w:r>
    </w:p>
    <w:p w14:paraId="3CDE2857" w14:textId="77777777" w:rsidR="002266FA" w:rsidRDefault="002266FA" w:rsidP="002266FA">
      <w:pPr>
        <w:pStyle w:val="ListParagraph"/>
        <w:numPr>
          <w:ilvl w:val="0"/>
          <w:numId w:val="1"/>
        </w:numPr>
        <w:spacing w:line="240" w:lineRule="exact"/>
        <w:ind w:right="43"/>
        <w:contextualSpacing/>
        <w:jc w:val="both"/>
      </w:pPr>
      <w:r>
        <w:t xml:space="preserve">   1 L.S. ADA Barrier Free Ramp and Handrail</w:t>
      </w:r>
    </w:p>
    <w:p w14:paraId="31BE64DA" w14:textId="77777777" w:rsidR="002266FA" w:rsidRDefault="002266FA" w:rsidP="002266FA">
      <w:pPr>
        <w:pStyle w:val="ListParagraph"/>
        <w:numPr>
          <w:ilvl w:val="0"/>
          <w:numId w:val="1"/>
        </w:numPr>
        <w:spacing w:line="240" w:lineRule="exact"/>
        <w:ind w:right="43"/>
        <w:contextualSpacing/>
        <w:jc w:val="both"/>
      </w:pPr>
      <w:r>
        <w:t xml:space="preserve"> 10 S.F. Detectable Warning Surface</w:t>
      </w:r>
    </w:p>
    <w:p w14:paraId="702FD177" w14:textId="77777777" w:rsidR="002266FA" w:rsidRDefault="002266FA" w:rsidP="002266FA">
      <w:pPr>
        <w:pStyle w:val="ListParagraph"/>
        <w:numPr>
          <w:ilvl w:val="0"/>
          <w:numId w:val="1"/>
        </w:numPr>
        <w:spacing w:line="240" w:lineRule="exact"/>
        <w:ind w:right="43"/>
        <w:contextualSpacing/>
        <w:jc w:val="both"/>
      </w:pPr>
      <w:r>
        <w:t xml:space="preserve">   1 L.S. Remove and Install Outer Doors/Storefront Frame and Glass</w:t>
      </w:r>
    </w:p>
    <w:p w14:paraId="7583AD00" w14:textId="77777777" w:rsidR="002266FA" w:rsidRDefault="002266FA" w:rsidP="002266FA">
      <w:pPr>
        <w:pStyle w:val="ListParagraph"/>
        <w:numPr>
          <w:ilvl w:val="0"/>
          <w:numId w:val="1"/>
        </w:numPr>
        <w:spacing w:line="240" w:lineRule="exact"/>
        <w:ind w:right="43"/>
        <w:contextualSpacing/>
        <w:jc w:val="both"/>
      </w:pPr>
      <w:r>
        <w:t xml:space="preserve">   1 L.S. Demo and Reconstruct Concrete Sill</w:t>
      </w:r>
    </w:p>
    <w:p w14:paraId="5790D30F" w14:textId="77777777" w:rsidR="002266FA" w:rsidRDefault="002266FA" w:rsidP="002266FA">
      <w:pPr>
        <w:pStyle w:val="ListParagraph"/>
        <w:numPr>
          <w:ilvl w:val="0"/>
          <w:numId w:val="1"/>
        </w:numPr>
        <w:spacing w:line="240" w:lineRule="exact"/>
        <w:ind w:right="43"/>
        <w:contextualSpacing/>
        <w:jc w:val="both"/>
      </w:pPr>
      <w:r>
        <w:t xml:space="preserve">   1 L.S. ADA Door Improvements</w:t>
      </w:r>
    </w:p>
    <w:p w14:paraId="69FDBC3D" w14:textId="77777777" w:rsidR="002266FA" w:rsidRDefault="002266FA" w:rsidP="002266FA">
      <w:pPr>
        <w:pStyle w:val="ListParagraph"/>
        <w:numPr>
          <w:ilvl w:val="0"/>
          <w:numId w:val="1"/>
        </w:numPr>
        <w:spacing w:line="240" w:lineRule="exact"/>
        <w:ind w:right="43"/>
        <w:contextualSpacing/>
        <w:jc w:val="both"/>
      </w:pPr>
      <w:r>
        <w:t xml:space="preserve">   1 L.S. Remount and Reset ADA Parking Area Signage</w:t>
      </w:r>
    </w:p>
    <w:bookmarkEnd w:id="2"/>
    <w:p w14:paraId="462B6F8A" w14:textId="77777777" w:rsidR="002266FA" w:rsidRPr="003A5162" w:rsidRDefault="002266FA" w:rsidP="002266FA">
      <w:pPr>
        <w:spacing w:line="240" w:lineRule="exact"/>
        <w:rPr>
          <w:snapToGrid w:val="0"/>
          <w:szCs w:val="24"/>
        </w:rPr>
      </w:pPr>
    </w:p>
    <w:p w14:paraId="0B62D2E2" w14:textId="1478DDA6" w:rsidR="002266FA" w:rsidRPr="003A5162" w:rsidRDefault="002266FA" w:rsidP="002266FA">
      <w:pPr>
        <w:spacing w:line="240" w:lineRule="exact"/>
        <w:rPr>
          <w:snapToGrid w:val="0"/>
          <w:szCs w:val="24"/>
        </w:rPr>
      </w:pPr>
      <w:r w:rsidRPr="003A5162">
        <w:rPr>
          <w:snapToGrid w:val="0"/>
          <w:szCs w:val="24"/>
        </w:rPr>
        <w:t xml:space="preserve">The work contemplated under this Contract shall be completed </w:t>
      </w:r>
      <w:r>
        <w:rPr>
          <w:snapToGrid w:val="0"/>
          <w:szCs w:val="24"/>
        </w:rPr>
        <w:t xml:space="preserve">within 45 calendar days of notice to proceed. The project must be fully completed by February 15, 2026. A pre-bid meeting will not be scheduled. Instead, a prospective bidder may contact Patrick McNichol with the Borough Police Department via his email address: </w:t>
      </w:r>
      <w:hyperlink r:id="rId5" w:history="1">
        <w:r w:rsidRPr="00752F84">
          <w:rPr>
            <w:rStyle w:val="Hyperlink"/>
            <w:snapToGrid w:val="0"/>
            <w:szCs w:val="24"/>
          </w:rPr>
          <w:t>mcnichol@mendhamnj.org</w:t>
        </w:r>
      </w:hyperlink>
      <w:r>
        <w:rPr>
          <w:snapToGrid w:val="0"/>
          <w:szCs w:val="24"/>
        </w:rPr>
        <w:t xml:space="preserve"> to schedule a site visit to review the existing facilities prior to submitting a bid. </w:t>
      </w:r>
    </w:p>
    <w:p w14:paraId="6940E218" w14:textId="77777777" w:rsidR="002266FA" w:rsidRPr="003A5162" w:rsidRDefault="002266FA" w:rsidP="002266FA">
      <w:pPr>
        <w:spacing w:line="240" w:lineRule="exact"/>
        <w:rPr>
          <w:snapToGrid w:val="0"/>
          <w:szCs w:val="24"/>
        </w:rPr>
      </w:pPr>
    </w:p>
    <w:p w14:paraId="792EA32F" w14:textId="77777777" w:rsidR="002266FA" w:rsidRPr="00B85C74" w:rsidRDefault="002266FA" w:rsidP="002266FA">
      <w:pPr>
        <w:spacing w:line="240" w:lineRule="exact"/>
        <w:jc w:val="both"/>
        <w:rPr>
          <w:snapToGrid w:val="0"/>
        </w:rPr>
      </w:pPr>
      <w:r w:rsidRPr="00B85C74">
        <w:rPr>
          <w:snapToGrid w:val="0"/>
        </w:rPr>
        <w:t xml:space="preserve">A copy of the plans, specification, and contract documents will be on file for public inspection at Boswell Inc., </w:t>
      </w:r>
      <w:r>
        <w:rPr>
          <w:snapToGrid w:val="0"/>
        </w:rPr>
        <w:t>180 Main Street</w:t>
      </w:r>
      <w:r w:rsidRPr="00B85C74">
        <w:rPr>
          <w:snapToGrid w:val="0"/>
        </w:rPr>
        <w:t xml:space="preserve">, </w:t>
      </w:r>
      <w:r>
        <w:rPr>
          <w:snapToGrid w:val="0"/>
        </w:rPr>
        <w:t>Chester</w:t>
      </w:r>
      <w:r w:rsidRPr="00B85C74">
        <w:rPr>
          <w:snapToGrid w:val="0"/>
        </w:rPr>
        <w:t>, New Jersey 07930, between the hours of 9:00 a.m. and 4:00 p.m. prevailing time, Monday through Thursday, and 9:00 a.m. and 11:00 a.m. prevailing time, Friday, excluding legal holidays.  A digital copy, provided on a USB flash drive, may be obtained for a non-refundable fee of $10.00 per USB flash drive. Printed copies of the plans, specification, and contract documents may be obtained upon request, in accordance with Boswell’s applicable printing fees at the time of request.</w:t>
      </w:r>
    </w:p>
    <w:p w14:paraId="0D373491" w14:textId="77777777" w:rsidR="002266FA" w:rsidRPr="003A5162" w:rsidRDefault="002266FA" w:rsidP="002266FA">
      <w:pPr>
        <w:spacing w:line="240" w:lineRule="exact"/>
        <w:jc w:val="both"/>
        <w:rPr>
          <w:snapToGrid w:val="0"/>
          <w:szCs w:val="24"/>
        </w:rPr>
      </w:pPr>
    </w:p>
    <w:p w14:paraId="19E86722" w14:textId="77777777" w:rsidR="002266FA" w:rsidRPr="003A5162" w:rsidRDefault="002266FA" w:rsidP="002266FA">
      <w:pPr>
        <w:spacing w:line="240" w:lineRule="exact"/>
        <w:jc w:val="both"/>
        <w:rPr>
          <w:snapToGrid w:val="0"/>
          <w:szCs w:val="24"/>
        </w:rPr>
      </w:pPr>
      <w:r w:rsidRPr="003A5162">
        <w:rPr>
          <w:snapToGrid w:val="0"/>
          <w:szCs w:val="24"/>
        </w:rPr>
        <w:t xml:space="preserve">Each bid must be made upon the prescribed forms, furnished with the Contract Drawings and Specifications, including the non-collusion affidavit and ownership statement compliance form and must be accompanied by a Consent of Surety and a certified check, cashier's check, or Bid Bond of not less than ten (10%) percent of the amount bid and, not to exceed $20,000.00.  Such checks and Bonds shall be made payable to the Owner and will be held as a Guarantee that in the event the Bid is accepted and a Contract awarded to the bidder, the Contract shall be duly executed and its performance properly secured.  The successful bidder shall furnish and deliver to the Owner a performance and payment bond in the amount of 100 percent of the accepted bid amount as security for the faithful performance and payment of the Contract.  Further, the </w:t>
      </w:r>
      <w:r w:rsidRPr="003A5162">
        <w:rPr>
          <w:snapToGrid w:val="0"/>
          <w:szCs w:val="24"/>
        </w:rPr>
        <w:lastRenderedPageBreak/>
        <w:t>successful bidder must furnish the policies or Certificates of Insurance required by the Contract.  In default thereof, said checks and the amount represented thereby will be forfeited to the aforesaid Owner as liquidated damages.  Bids must be accompanied, in the case of corporations not chartered in New Jersey, by proper certificate that such corporation is authorized to do business in the State of New Jersey.</w:t>
      </w:r>
    </w:p>
    <w:p w14:paraId="03C94FA2" w14:textId="77777777" w:rsidR="002266FA" w:rsidRPr="003A5162" w:rsidRDefault="002266FA" w:rsidP="002266FA">
      <w:pPr>
        <w:spacing w:line="240" w:lineRule="exact"/>
        <w:jc w:val="both"/>
        <w:rPr>
          <w:snapToGrid w:val="0"/>
          <w:szCs w:val="24"/>
        </w:rPr>
      </w:pPr>
    </w:p>
    <w:p w14:paraId="5D00A9E1" w14:textId="77777777" w:rsidR="002266FA" w:rsidRPr="003A5162" w:rsidRDefault="002266FA" w:rsidP="002266FA">
      <w:pPr>
        <w:spacing w:line="240" w:lineRule="exact"/>
        <w:rPr>
          <w:snapToGrid w:val="0"/>
          <w:szCs w:val="24"/>
        </w:rPr>
      </w:pPr>
      <w:r w:rsidRPr="003A5162">
        <w:rPr>
          <w:snapToGrid w:val="0"/>
          <w:szCs w:val="24"/>
        </w:rPr>
        <w:t xml:space="preserve">Bidders are required to comply with the requirements of </w:t>
      </w:r>
      <w:r w:rsidRPr="003A5162">
        <w:rPr>
          <w:szCs w:val="24"/>
        </w:rPr>
        <w:t xml:space="preserve">N.J.S.A. 10:5-31 et seq. and N.J.A.C. 17:27 </w:t>
      </w:r>
      <w:r w:rsidRPr="003A5162">
        <w:rPr>
          <w:snapToGrid w:val="0"/>
          <w:szCs w:val="24"/>
        </w:rPr>
        <w:t>regarding equal employment opportunity, as amended.  All corporations and partnerships and limited liability companies must comply with N.J.S.A. 52:25-24.2, regarding disclosure of partners and stockholders.  Each bid must be enclosed in a sealed envelope bearing the name and address of the bidder, addressed to the Owner and labeled for the</w:t>
      </w:r>
      <w:r w:rsidRPr="00216EED">
        <w:rPr>
          <w:noProof/>
          <w:snapToGrid w:val="0"/>
          <w:szCs w:val="24"/>
        </w:rPr>
        <w:t xml:space="preserve"> </w:t>
      </w:r>
      <w:r>
        <w:rPr>
          <w:noProof/>
          <w:snapToGrid w:val="0"/>
          <w:szCs w:val="24"/>
        </w:rPr>
        <w:t>ACCESSIBILITY IMPROVEMENTS TO POLICE DEPARMTENT.</w:t>
      </w:r>
    </w:p>
    <w:p w14:paraId="7D820722" w14:textId="77777777" w:rsidR="002266FA" w:rsidRPr="003A5162" w:rsidRDefault="002266FA" w:rsidP="002266FA">
      <w:pPr>
        <w:spacing w:line="240" w:lineRule="exact"/>
        <w:jc w:val="both"/>
        <w:rPr>
          <w:snapToGrid w:val="0"/>
          <w:szCs w:val="24"/>
        </w:rPr>
      </w:pPr>
    </w:p>
    <w:p w14:paraId="59A6547B" w14:textId="77777777" w:rsidR="00C90C2B" w:rsidRDefault="00C90C2B" w:rsidP="002266FA">
      <w:pPr>
        <w:spacing w:line="240" w:lineRule="exact"/>
      </w:pPr>
      <w:r>
        <w:t xml:space="preserve">Funding for this project is provided by the United States Department of Housing and Urban Development to the County of Morris. Therefore, the Federal Labor Standards Provisions and Davis Bacon wage rates and reporting will apply. </w:t>
      </w:r>
    </w:p>
    <w:p w14:paraId="795EF918" w14:textId="77777777" w:rsidR="00C90C2B" w:rsidRDefault="00C90C2B" w:rsidP="002266FA">
      <w:pPr>
        <w:spacing w:line="240" w:lineRule="exact"/>
      </w:pPr>
    </w:p>
    <w:p w14:paraId="64F08651" w14:textId="5D03E46C" w:rsidR="00C90C2B" w:rsidRDefault="00C90C2B" w:rsidP="002266FA">
      <w:pPr>
        <w:spacing w:line="240" w:lineRule="exact"/>
      </w:pPr>
      <w:r>
        <w:t xml:space="preserve">In all cases, the stricter of the Federal labor laws, when applicable, or New Jersey Department of Labor and Workforce standards (including the NJ Prevailing Wage Act (N.J.S.A 34:11-56.25 et seq., for public works projects) will apply. Attention is called to the fact that the contractor must ensure that employees and applicants for employment are not discriminated against because of their age, race, creed, color, national origin, ancestry, marital status, sex, affectional or sexual orientation. Small, Minority and Women's Business Enterprises are encouraged to submit bids. </w:t>
      </w:r>
    </w:p>
    <w:p w14:paraId="7A12383F" w14:textId="77777777" w:rsidR="00C90C2B" w:rsidRDefault="00C90C2B" w:rsidP="002266FA">
      <w:pPr>
        <w:spacing w:line="240" w:lineRule="exact"/>
      </w:pPr>
    </w:p>
    <w:p w14:paraId="04941438" w14:textId="77777777" w:rsidR="00C90C2B" w:rsidRDefault="00C90C2B" w:rsidP="002266FA">
      <w:pPr>
        <w:spacing w:line="240" w:lineRule="exact"/>
      </w:pPr>
      <w:r>
        <w:t xml:space="preserve">When applicable, add the following – Section 3 rules apply to contracts for projects that have received more than $200,000 in HUD-assisted funds ($100,000 for Lead Hazard Control) or when there is public housing financial assistance: To the greatest extent possible, opportunities for training and employment shall be given to lower-income residents of the project area and, when possible, contracts shall be awarded to business concerns owned by area residents. </w:t>
      </w:r>
    </w:p>
    <w:p w14:paraId="68E5C8DE" w14:textId="77777777" w:rsidR="00C90C2B" w:rsidRDefault="00C90C2B" w:rsidP="002266FA">
      <w:pPr>
        <w:spacing w:line="240" w:lineRule="exact"/>
      </w:pPr>
    </w:p>
    <w:p w14:paraId="631FD4FD" w14:textId="3FD8529B" w:rsidR="002266FA" w:rsidRPr="003A5162" w:rsidRDefault="00C90C2B" w:rsidP="002266FA">
      <w:pPr>
        <w:spacing w:line="240" w:lineRule="exact"/>
        <w:rPr>
          <w:snapToGrid w:val="0"/>
          <w:szCs w:val="24"/>
        </w:rPr>
      </w:pPr>
      <w:r>
        <w:t>Note: The Federal labor standards provisions, including Davis-Bacon, only apply to CDBG non-housing contracts for $2,000 or more and for any housing construction project with 8 or more CDBG-assisted units. The Federal labor standards apply to HOME funded contracts for 12 or more HOME-assisted units.</w:t>
      </w:r>
    </w:p>
    <w:p w14:paraId="1592DAE7" w14:textId="77777777" w:rsidR="00C90C2B" w:rsidRDefault="00C90C2B" w:rsidP="002266FA">
      <w:pPr>
        <w:spacing w:line="240" w:lineRule="exact"/>
        <w:rPr>
          <w:snapToGrid w:val="0"/>
          <w:szCs w:val="24"/>
        </w:rPr>
      </w:pPr>
    </w:p>
    <w:p w14:paraId="573AC92C" w14:textId="4B870335" w:rsidR="002266FA" w:rsidRPr="003A5162" w:rsidRDefault="002266FA" w:rsidP="002266FA">
      <w:pPr>
        <w:spacing w:line="240" w:lineRule="exact"/>
        <w:rPr>
          <w:snapToGrid w:val="0"/>
          <w:szCs w:val="24"/>
        </w:rPr>
      </w:pPr>
      <w:r w:rsidRPr="003A5162">
        <w:rPr>
          <w:snapToGrid w:val="0"/>
          <w:szCs w:val="24"/>
        </w:rPr>
        <w:t>Unless otherwise permitted by N.J.S.A. 40A:11-23.3, all bids shall be irrevocable, not subject to withdrawal and shall stand available for a period of sixty (60) days in accordance with N.J.S.A. 40A:11-24.  The Owner and Bidder may agree to hold bids for consideration for a longer period of time, in accordance with N.J.S.A. 40A:11-24.</w:t>
      </w:r>
    </w:p>
    <w:p w14:paraId="05448E5B" w14:textId="77777777" w:rsidR="002266FA" w:rsidRPr="003A5162" w:rsidRDefault="002266FA" w:rsidP="002266FA">
      <w:pPr>
        <w:spacing w:line="240" w:lineRule="exact"/>
        <w:rPr>
          <w:snapToGrid w:val="0"/>
          <w:szCs w:val="24"/>
        </w:rPr>
      </w:pPr>
    </w:p>
    <w:p w14:paraId="3215E5B8" w14:textId="77777777" w:rsidR="002266FA" w:rsidRPr="003A5162" w:rsidRDefault="002266FA" w:rsidP="002266FA">
      <w:pPr>
        <w:spacing w:line="240" w:lineRule="exact"/>
        <w:rPr>
          <w:snapToGrid w:val="0"/>
          <w:szCs w:val="24"/>
        </w:rPr>
      </w:pPr>
      <w:r w:rsidRPr="003A5162">
        <w:rPr>
          <w:snapToGrid w:val="0"/>
          <w:szCs w:val="24"/>
        </w:rPr>
        <w:t>The Owner reserves the right to reject bids pursuant to N.J.S.A. 40A:11-13.2, N.J.A.C. 7:22-9.10, or other applicable law; to waive minor informalities or non-material exceptions in the bids received and to accept the bid from the lowest responsible bidder, as per N.J.S.A. 40A: 11-1, et seq.</w:t>
      </w:r>
    </w:p>
    <w:p w14:paraId="0D1A8137" w14:textId="77777777" w:rsidR="002266FA" w:rsidRPr="003A5162" w:rsidRDefault="002266FA" w:rsidP="002266FA">
      <w:pPr>
        <w:spacing w:line="240" w:lineRule="exact"/>
        <w:rPr>
          <w:snapToGrid w:val="0"/>
          <w:szCs w:val="24"/>
        </w:rPr>
      </w:pPr>
    </w:p>
    <w:p w14:paraId="4CDBC564" w14:textId="77777777" w:rsidR="002266FA" w:rsidRPr="003A5162" w:rsidRDefault="002266FA" w:rsidP="002266FA">
      <w:pPr>
        <w:spacing w:line="240" w:lineRule="exact"/>
        <w:rPr>
          <w:snapToGrid w:val="0"/>
          <w:szCs w:val="24"/>
        </w:rPr>
      </w:pPr>
    </w:p>
    <w:p w14:paraId="26305FD3" w14:textId="77777777" w:rsidR="002266FA" w:rsidRPr="003A5162" w:rsidRDefault="002266FA" w:rsidP="002266FA">
      <w:pPr>
        <w:spacing w:line="240" w:lineRule="exact"/>
        <w:rPr>
          <w:snapToGrid w:val="0"/>
          <w:szCs w:val="24"/>
        </w:rPr>
      </w:pPr>
    </w:p>
    <w:p w14:paraId="28D8FAF8" w14:textId="77777777" w:rsidR="002266FA" w:rsidRPr="003A5162" w:rsidRDefault="002266FA" w:rsidP="002266FA">
      <w:pPr>
        <w:tabs>
          <w:tab w:val="left" w:pos="5040"/>
          <w:tab w:val="left" w:pos="5760"/>
        </w:tabs>
        <w:spacing w:line="240" w:lineRule="exact"/>
        <w:rPr>
          <w:snapToGrid w:val="0"/>
          <w:szCs w:val="24"/>
        </w:rPr>
      </w:pPr>
      <w:r w:rsidRPr="003A5162">
        <w:rPr>
          <w:snapToGrid w:val="0"/>
          <w:szCs w:val="24"/>
        </w:rPr>
        <w:tab/>
      </w:r>
      <w:r w:rsidRPr="00141029">
        <w:rPr>
          <w:noProof/>
          <w:snapToGrid w:val="0"/>
          <w:szCs w:val="24"/>
        </w:rPr>
        <w:t>BOROUGH OF MENDHAM</w:t>
      </w:r>
    </w:p>
    <w:p w14:paraId="2720C35A" w14:textId="77777777" w:rsidR="002266FA" w:rsidRPr="003A5162" w:rsidRDefault="002266FA" w:rsidP="002266FA">
      <w:pPr>
        <w:tabs>
          <w:tab w:val="left" w:pos="5040"/>
          <w:tab w:val="left" w:pos="5760"/>
        </w:tabs>
        <w:spacing w:line="240" w:lineRule="exact"/>
        <w:rPr>
          <w:snapToGrid w:val="0"/>
          <w:szCs w:val="24"/>
        </w:rPr>
      </w:pPr>
      <w:r>
        <w:rPr>
          <w:snapToGrid w:val="0"/>
          <w:szCs w:val="24"/>
        </w:rPr>
        <w:tab/>
      </w:r>
      <w:r w:rsidRPr="00141029">
        <w:rPr>
          <w:noProof/>
          <w:snapToGrid w:val="0"/>
          <w:szCs w:val="24"/>
        </w:rPr>
        <w:t>Lauren McBride, Acting</w:t>
      </w:r>
      <w:r w:rsidRPr="00141029">
        <w:rPr>
          <w:rFonts w:ascii="Calibri" w:hAnsi="Calibri" w:cs="Calibri"/>
          <w:noProof/>
          <w:snapToGrid w:val="0"/>
          <w:szCs w:val="24"/>
        </w:rPr>
        <w:t> </w:t>
      </w:r>
      <w:r w:rsidRPr="00141029">
        <w:rPr>
          <w:noProof/>
          <w:snapToGrid w:val="0"/>
          <w:szCs w:val="24"/>
        </w:rPr>
        <w:t>Clerk</w:t>
      </w:r>
    </w:p>
    <w:p w14:paraId="1B14FDB0" w14:textId="77777777" w:rsidR="003F1A9B" w:rsidRDefault="003F1A9B"/>
    <w:sectPr w:rsidR="003F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ic Regular">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A05B6"/>
    <w:multiLevelType w:val="hybridMultilevel"/>
    <w:tmpl w:val="A3266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881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FA"/>
    <w:rsid w:val="002266FA"/>
    <w:rsid w:val="003F1A9B"/>
    <w:rsid w:val="0069549B"/>
    <w:rsid w:val="00914364"/>
    <w:rsid w:val="00A5636E"/>
    <w:rsid w:val="00B738FC"/>
    <w:rsid w:val="00C42758"/>
    <w:rsid w:val="00C90C2B"/>
    <w:rsid w:val="00DC04FB"/>
    <w:rsid w:val="00F4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FF54"/>
  <w15:chartTrackingRefBased/>
  <w15:docId w15:val="{94AEFD9F-BBE2-477A-96EC-BB6A4216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FA"/>
    <w:pPr>
      <w:widowControl/>
    </w:pPr>
    <w:rPr>
      <w:rFonts w:ascii="Metric Regular" w:eastAsia="Times New Roman" w:hAnsi="Metric Regular" w:cs="Times New Roman"/>
      <w:kern w:val="0"/>
      <w:sz w:val="24"/>
      <w:szCs w:val="20"/>
      <w14:ligatures w14:val="none"/>
    </w:rPr>
  </w:style>
  <w:style w:type="paragraph" w:styleId="Heading1">
    <w:name w:val="heading 1"/>
    <w:aliases w:val="DIVISION TITLE"/>
    <w:basedOn w:val="Normal"/>
    <w:link w:val="Heading1Char"/>
    <w:uiPriority w:val="99"/>
    <w:qFormat/>
    <w:rsid w:val="00B738FC"/>
    <w:pPr>
      <w:ind w:left="52"/>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266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66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66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66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66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738FC"/>
  </w:style>
  <w:style w:type="character" w:customStyle="1" w:styleId="Heading1Char">
    <w:name w:val="Heading 1 Char"/>
    <w:aliases w:val="DIVISION TITLE Char"/>
    <w:basedOn w:val="DefaultParagraphFont"/>
    <w:link w:val="Heading1"/>
    <w:uiPriority w:val="99"/>
    <w:rsid w:val="00B738FC"/>
    <w:rPr>
      <w:rFonts w:ascii="Arial" w:eastAsia="Arial" w:hAnsi="Arial"/>
      <w:b/>
      <w:bCs/>
    </w:rPr>
  </w:style>
  <w:style w:type="paragraph" w:styleId="BodyText">
    <w:name w:val="Body Text"/>
    <w:basedOn w:val="Normal"/>
    <w:link w:val="BodyTextChar"/>
    <w:uiPriority w:val="1"/>
    <w:qFormat/>
    <w:rsid w:val="00B738FC"/>
    <w:pPr>
      <w:ind w:left="176"/>
    </w:pPr>
    <w:rPr>
      <w:rFonts w:ascii="Times New Roman" w:hAnsi="Times New Roman"/>
    </w:rPr>
  </w:style>
  <w:style w:type="character" w:customStyle="1" w:styleId="BodyTextChar">
    <w:name w:val="Body Text Char"/>
    <w:basedOn w:val="DefaultParagraphFont"/>
    <w:link w:val="BodyText"/>
    <w:uiPriority w:val="1"/>
    <w:rsid w:val="00B738FC"/>
    <w:rPr>
      <w:rFonts w:ascii="Times New Roman" w:eastAsia="Times New Roman" w:hAnsi="Times New Roman"/>
    </w:rPr>
  </w:style>
  <w:style w:type="paragraph" w:styleId="ListParagraph">
    <w:name w:val="List Paragraph"/>
    <w:basedOn w:val="Normal"/>
    <w:uiPriority w:val="1"/>
    <w:qFormat/>
    <w:rsid w:val="00B738FC"/>
  </w:style>
  <w:style w:type="character" w:customStyle="1" w:styleId="Heading2Char">
    <w:name w:val="Heading 2 Char"/>
    <w:basedOn w:val="DefaultParagraphFont"/>
    <w:link w:val="Heading2"/>
    <w:uiPriority w:val="9"/>
    <w:semiHidden/>
    <w:rsid w:val="002266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66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66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66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6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FA"/>
    <w:rPr>
      <w:rFonts w:eastAsiaTheme="majorEastAsia" w:cstheme="majorBidi"/>
      <w:color w:val="272727" w:themeColor="text1" w:themeTint="D8"/>
    </w:rPr>
  </w:style>
  <w:style w:type="paragraph" w:styleId="Title">
    <w:name w:val="Title"/>
    <w:basedOn w:val="Normal"/>
    <w:next w:val="Normal"/>
    <w:link w:val="TitleChar"/>
    <w:uiPriority w:val="10"/>
    <w:qFormat/>
    <w:rsid w:val="002266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6FA"/>
    <w:rPr>
      <w:i/>
      <w:iCs/>
      <w:color w:val="404040" w:themeColor="text1" w:themeTint="BF"/>
    </w:rPr>
  </w:style>
  <w:style w:type="character" w:styleId="IntenseEmphasis">
    <w:name w:val="Intense Emphasis"/>
    <w:basedOn w:val="DefaultParagraphFont"/>
    <w:uiPriority w:val="21"/>
    <w:qFormat/>
    <w:rsid w:val="002266FA"/>
    <w:rPr>
      <w:i/>
      <w:iCs/>
      <w:color w:val="365F91" w:themeColor="accent1" w:themeShade="BF"/>
    </w:rPr>
  </w:style>
  <w:style w:type="paragraph" w:styleId="IntenseQuote">
    <w:name w:val="Intense Quote"/>
    <w:basedOn w:val="Normal"/>
    <w:next w:val="Normal"/>
    <w:link w:val="IntenseQuoteChar"/>
    <w:uiPriority w:val="30"/>
    <w:qFormat/>
    <w:rsid w:val="002266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66FA"/>
    <w:rPr>
      <w:i/>
      <w:iCs/>
      <w:color w:val="365F91" w:themeColor="accent1" w:themeShade="BF"/>
    </w:rPr>
  </w:style>
  <w:style w:type="character" w:styleId="IntenseReference">
    <w:name w:val="Intense Reference"/>
    <w:basedOn w:val="DefaultParagraphFont"/>
    <w:uiPriority w:val="32"/>
    <w:qFormat/>
    <w:rsid w:val="002266FA"/>
    <w:rPr>
      <w:b/>
      <w:bCs/>
      <w:smallCaps/>
      <w:color w:val="365F91" w:themeColor="accent1" w:themeShade="BF"/>
      <w:spacing w:val="5"/>
    </w:rPr>
  </w:style>
  <w:style w:type="paragraph" w:styleId="BodyText2">
    <w:name w:val="Body Text 2"/>
    <w:basedOn w:val="Normal"/>
    <w:link w:val="BodyText2Char"/>
    <w:rsid w:val="002266FA"/>
    <w:pPr>
      <w:spacing w:line="240" w:lineRule="exact"/>
      <w:jc w:val="both"/>
    </w:pPr>
    <w:rPr>
      <w:rFonts w:ascii="Arial" w:hAnsi="Arial"/>
      <w:snapToGrid w:val="0"/>
    </w:rPr>
  </w:style>
  <w:style w:type="character" w:customStyle="1" w:styleId="BodyText2Char">
    <w:name w:val="Body Text 2 Char"/>
    <w:basedOn w:val="DefaultParagraphFont"/>
    <w:link w:val="BodyText2"/>
    <w:rsid w:val="002266FA"/>
    <w:rPr>
      <w:rFonts w:ascii="Arial" w:eastAsia="Times New Roman" w:hAnsi="Arial" w:cs="Times New Roman"/>
      <w:snapToGrid w:val="0"/>
      <w:kern w:val="0"/>
      <w:sz w:val="24"/>
      <w:szCs w:val="20"/>
      <w14:ligatures w14:val="none"/>
    </w:rPr>
  </w:style>
  <w:style w:type="character" w:styleId="Hyperlink">
    <w:name w:val="Hyperlink"/>
    <w:uiPriority w:val="99"/>
    <w:rsid w:val="00226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cnichol@mendham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Quamme</dc:creator>
  <cp:keywords/>
  <dc:description/>
  <cp:lastModifiedBy>Lauren McBride</cp:lastModifiedBy>
  <cp:revision>2</cp:revision>
  <dcterms:created xsi:type="dcterms:W3CDTF">2025-10-23T18:35:00Z</dcterms:created>
  <dcterms:modified xsi:type="dcterms:W3CDTF">2025-10-23T18:35:00Z</dcterms:modified>
</cp:coreProperties>
</file>